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7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8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9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0A17AE" w:rsidRPr="002463C7" w:rsidRDefault="003972F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   «____»_______________20____г.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Департамент имущественных и земельных отношений Воронежской области, именуемый в дальнейшем «Департамент»,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«Рекламораспространитель», в лице __________________________________, действующ___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1.1. Департамент предоставляет Рекламораспространителю за плату право на установку и эксплуатацию рекламной конструкции со следующими характеристиками: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531711" w:rsidRPr="00700915" w:rsidTr="0026484A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Вид рекламной конструкции, размер рекламного поля,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r w:rsidRPr="00DB62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опоры,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531711" w:rsidRPr="00700915" w:rsidTr="0026484A">
        <w:trPr>
          <w:jc w:val="center"/>
        </w:trPr>
        <w:tc>
          <w:tcPr>
            <w:tcW w:w="1838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2.1. Настоящий Договор заключен сроком на ____ лет и вступает в силу с даты его подписания.</w:t>
      </w:r>
    </w:p>
    <w:p w:rsidR="00531711" w:rsidRPr="00700915" w:rsidRDefault="00531711" w:rsidP="00531711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Обязанности Департамента: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3.1.1. Департамент обязан предоставить Рекламораспространителю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Pr="00FE0FD2">
        <w:t xml:space="preserve">Требовать от </w:t>
      </w:r>
      <w:r>
        <w:t>Рекламораспространителя</w:t>
      </w:r>
      <w:r w:rsidRPr="00FE0FD2">
        <w:t xml:space="preserve"> предоставления рекламных площадей рекламных конструкций в установленном п</w:t>
      </w:r>
      <w:r>
        <w:t>.</w:t>
      </w:r>
      <w:r w:rsidRPr="00FE0FD2">
        <w:t xml:space="preserve"> </w:t>
      </w:r>
      <w:r>
        <w:t>4</w:t>
      </w:r>
      <w:r w:rsidRPr="00FE0FD2">
        <w:t>.</w:t>
      </w:r>
      <w:r>
        <w:t>2</w:t>
      </w:r>
      <w:r w:rsidRPr="00FE0FD2">
        <w:t xml:space="preserve"> </w:t>
      </w:r>
      <w:r>
        <w:t xml:space="preserve">Договора </w:t>
      </w:r>
      <w:r w:rsidRPr="00FE0FD2">
        <w:t>объеме для размещения социальной рекламы в течение всего срока действия Договора.</w:t>
      </w:r>
      <w:r>
        <w:t xml:space="preserve"> </w:t>
      </w:r>
      <w:r w:rsidRPr="00700915">
        <w:t>Представлять Рекламораспространителю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3.1.4.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>
        <w:t>1</w:t>
      </w:r>
      <w:r w:rsidRPr="00700915">
        <w:t>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>
        <w:t>2</w:t>
      </w:r>
      <w:r w:rsidRPr="00700915">
        <w:t xml:space="preserve">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3.2. Департамент вправе: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3.2.1. Осуществлять контроль за исполнением Рекламораспространителем обязательств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Рекламораспространителю требования об устранении нарушений с указанием срока их устранения.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>
        <w:t>4</w:t>
      </w:r>
      <w:r w:rsidRPr="00700915">
        <w:t>. В случае невыполнения Рекламораспространителем обязательств по демонтажу рекламной конструкции в установленный срок, Департамент вправе самостоятельно или с привлечением сторонних организаций самостоятельно демонтировать рекламную конструкцию, взыскав с Рекламораспространителя стоимость работ по демонтажу.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3.2.5</w:t>
      </w:r>
      <w:r w:rsidRPr="00700915">
        <w:t>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3.2.6</w:t>
      </w:r>
      <w:r w:rsidRPr="00700915">
        <w:t>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Рекламораспространителю не возвращается.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3.2.7</w:t>
      </w:r>
      <w:r w:rsidRPr="00700915">
        <w:t xml:space="preserve">. На основании </w:t>
      </w:r>
      <w:r>
        <w:t>уведомления</w:t>
      </w:r>
      <w:r w:rsidRPr="00700915">
        <w:t>, поступивше</w:t>
      </w:r>
      <w:r>
        <w:t>го</w:t>
      </w:r>
      <w:r w:rsidRPr="00700915">
        <w:t xml:space="preserve"> от Рекламораспространителя в соответствии с пунктом </w:t>
      </w:r>
      <w:r>
        <w:t xml:space="preserve">3.4.2 </w:t>
      </w:r>
      <w:r w:rsidRPr="00700915">
        <w:t xml:space="preserve">Договора, а также в случае самостоятельного обнаружения </w:t>
      </w:r>
      <w:r>
        <w:t xml:space="preserve">Департаментом </w:t>
      </w:r>
      <w:r w:rsidRPr="00700915">
        <w:t xml:space="preserve">изменения Рекламораспространителем динамических характеристик рекламной конструкции без изменения </w:t>
      </w:r>
      <w:r w:rsidRPr="00BB388C">
        <w:t>размера</w:t>
      </w:r>
      <w:r w:rsidRPr="00700915">
        <w:t xml:space="preserve">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</w:t>
      </w:r>
      <w:r>
        <w:t xml:space="preserve"> для </w:t>
      </w:r>
      <w:r>
        <w:lastRenderedPageBreak/>
        <w:t>каждой изменяемой информационной поверхности</w:t>
      </w:r>
      <w:r w:rsidRPr="00700915">
        <w:t xml:space="preserve"> – с момента, указанного в </w:t>
      </w:r>
      <w:r>
        <w:t>уведомлении</w:t>
      </w:r>
      <w:r w:rsidRPr="00700915">
        <w:t xml:space="preserve"> Рекламораспространителя, либо с момента обнаружения Департаментом изменения динамических характеристик.</w:t>
      </w: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>3.3. Обязанности Рекламораспространителя: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3.3.1. Рекламораспространитель обязан установить на рекламном месте рекламную конструкцию, определенную разделом 1 настоящего Договора, только при нал</w:t>
      </w:r>
      <w:r>
        <w:t>ичии разрешения на ее установку и эксплуатацию.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3.3.2. Производить оплату за установку и эксплуатацию рекламной конструкции согласно раздела 5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531711" w:rsidRPr="00700915" w:rsidRDefault="00531711" w:rsidP="00531711">
      <w:pPr>
        <w:ind w:firstLine="709"/>
        <w:jc w:val="both"/>
      </w:pPr>
      <w:r w:rsidRPr="00700915">
        <w:t>Под надлежащим техническим и эстетическим состоянием рекламных конструкций понимается поддержание Рекламораспространителем рекламных конструкций в следующем состоянии: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ржавчины и грязи на всех частях и элементах рекламных конструкций; </w:t>
      </w:r>
    </w:p>
    <w:p w:rsidR="00531711" w:rsidRPr="00700915" w:rsidRDefault="00531711" w:rsidP="00531711">
      <w:pPr>
        <w:ind w:firstLine="709"/>
        <w:jc w:val="both"/>
      </w:pPr>
      <w:r w:rsidRPr="00700915">
        <w:rPr>
          <w:rFonts w:eastAsiaTheme="minorHAns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3.3.7</w:t>
      </w:r>
      <w:r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3.3.8</w:t>
      </w:r>
      <w:r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>
        <w:t>9</w:t>
      </w:r>
      <w:r w:rsidRPr="00700915">
        <w:t>. За счет собственных средств возмещать Департаменту нанесенный ущерб от порчи имущества, на котором устанавливается рекламная конструкция.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3.3.10</w:t>
      </w:r>
      <w:r w:rsidRPr="00700915">
        <w:t xml:space="preserve">. Произвести демонтаж рекламной конструкции: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«в» п. 3.3.1</w:t>
      </w:r>
      <w:r>
        <w:t>1</w:t>
      </w:r>
      <w:r w:rsidRPr="00700915">
        <w:t>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t>1</w:t>
      </w:r>
      <w:r w:rsidRPr="00700915"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 Рекламораспространитель не позднее 5 (пяти) рабочих дней с даты демонтажа рекламной конструкции направляет Департаменту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2</w:t>
      </w:r>
      <w:r w:rsidRPr="00700915">
        <w:t>. Рекламораспространитель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t>1</w:t>
      </w:r>
      <w:r w:rsidRPr="00700915">
        <w:t>, и в течении 5 (пяти) рабочих дней с момента установки рекламной конструкции направить Департаменту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3</w:t>
      </w:r>
      <w:r w:rsidRPr="00700915">
        <w:t>. 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531711" w:rsidRPr="00FE0FD2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>
        <w:t>.</w:t>
      </w:r>
      <w:r w:rsidRPr="00700915">
        <w:t xml:space="preserve"> </w:t>
      </w:r>
      <w:r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5</w:t>
      </w:r>
      <w:r w:rsidRPr="00700915">
        <w:t>. Рекламораспространитель обязан известить Департамент об изменении адреса, наименования и других реквизитов. В случае неисполнения данной обязанности Рекламораспространителем корреспонденция, направленная по последнему адресу, будет считаться полученной.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531711" w:rsidRDefault="00531711" w:rsidP="00531711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>
        <w:t>8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3.3.1</w:t>
      </w:r>
      <w:r>
        <w:t>9</w:t>
      </w:r>
      <w:r w:rsidRPr="00700915">
        <w:t>. В течение десяти календарных дней с момента получения соответствующего предписания</w:t>
      </w:r>
      <w:r w:rsidRPr="00700915">
        <w:rPr>
          <w:shd w:val="clear" w:color="auto" w:fill="FFFFFF"/>
        </w:rPr>
        <w:t xml:space="preserve"> выполнить требования Департамента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</w:t>
      </w:r>
      <w:r w:rsidRPr="00700915">
        <w:rPr>
          <w:shd w:val="clear" w:color="auto" w:fill="FFFFFF"/>
        </w:rPr>
        <w:lastRenderedPageBreak/>
        <w:t>устранения нарушений Рекламораспространитель обязан предоставить Департаменту фотоотчет.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3.3.20.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>
        <w:t>3</w:t>
      </w:r>
      <w:r w:rsidRPr="00FE0FD2">
        <w:t>.4.</w:t>
      </w:r>
      <w:r>
        <w:t>3</w:t>
      </w:r>
      <w:r w:rsidRPr="00FE0FD2">
        <w:t xml:space="preserve"> Договора.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 xml:space="preserve">3.3.21. </w:t>
      </w:r>
      <w:r w:rsidRPr="00FE0FD2">
        <w:t xml:space="preserve">Уведомлять </w:t>
      </w:r>
      <w:r>
        <w:t>Департамент</w:t>
      </w:r>
      <w:r w:rsidRPr="00FE0FD2">
        <w:t xml:space="preserve"> о</w:t>
      </w:r>
      <w:r>
        <w:t xml:space="preserve">б изменении </w:t>
      </w:r>
      <w:r w:rsidRPr="00FE0FD2">
        <w:t xml:space="preserve">динамических </w:t>
      </w:r>
      <w:r>
        <w:t>характеристик</w:t>
      </w:r>
      <w:r w:rsidRPr="00FE0FD2">
        <w:t xml:space="preserve"> </w:t>
      </w:r>
      <w:r>
        <w:t xml:space="preserve">рекламной </w:t>
      </w:r>
      <w:r w:rsidRPr="00FE0FD2">
        <w:t>конструкци</w:t>
      </w:r>
      <w:r>
        <w:t>и</w:t>
      </w:r>
      <w:r w:rsidRPr="00FE0FD2">
        <w:t xml:space="preserve"> в порядке и сроки, установленные Договором.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3.3.22. </w:t>
      </w:r>
      <w:r w:rsidRPr="00FE0FD2">
        <w:t xml:space="preserve">Не переуступать права и обязанности по Договору третьим лицам. </w:t>
      </w:r>
      <w:r>
        <w:t>Рекламораспространитель</w:t>
      </w:r>
      <w:r w:rsidRPr="00FE0FD2">
        <w:t xml:space="preserve"> обязан уведомлять </w:t>
      </w:r>
      <w:r>
        <w:t>Департамент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r>
        <w:t>Рекламораспространителя</w:t>
      </w:r>
      <w:r w:rsidRPr="00FE0FD2">
        <w:t xml:space="preserve"> к третьему лицу не переходят.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3.4. Рекламораспространитель вправе: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3.4.1. Рекламораспространитель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</w:t>
      </w:r>
      <w:r>
        <w:rPr>
          <w:rFonts w:eastAsia="Calibri"/>
          <w:lang w:eastAsia="en-US"/>
        </w:rPr>
        <w:t>размера</w:t>
      </w:r>
      <w:r w:rsidRPr="00700915">
        <w:rPr>
          <w:rFonts w:eastAsia="Calibri"/>
          <w:lang w:eastAsia="en-US"/>
        </w:rPr>
        <w:t xml:space="preserve"> рекламного поля и типа конструкции, письменно уведомив об этом Департамент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r w:rsidRPr="00700915">
        <w:t>призматрон, скроллер. Установление на рекламную конструкцию механизма динамической смены изображения влечет изменение размера платы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изображения.</w:t>
      </w:r>
    </w:p>
    <w:p w:rsidR="00531711" w:rsidRDefault="00531711" w:rsidP="00531711">
      <w:pPr>
        <w:spacing w:line="20" w:lineRule="atLeast"/>
        <w:ind w:firstLine="709"/>
        <w:jc w:val="both"/>
      </w:pPr>
      <w:r w:rsidRPr="00700915">
        <w:t>Размер платы по Договору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изображения,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</w:t>
      </w:r>
      <w:r w:rsidRPr="00700915">
        <w:t xml:space="preserve"> конструкци</w:t>
      </w:r>
      <w:r>
        <w:t>и</w:t>
      </w:r>
      <w:r w:rsidRPr="00700915">
        <w:t>.</w:t>
      </w:r>
    </w:p>
    <w:p w:rsidR="00531711" w:rsidRPr="00700915" w:rsidRDefault="00531711" w:rsidP="00531711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Департаменту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4.1. Распространение социальной рекламы осуществляется Рекламораспространителем в обязательном порядке на безвозмездной основе. Монтаж, демонтаж и затраты на размещение рекламно-информационных материалов осуществляется за счет Рекламораспространителя.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4.2. Распространение социальной рекламы осуществляется Рекламораспространителем в пределах 5 (пяти) процентов от годового объема распространяемой рекламы на данной конструкции в год.</w:t>
      </w:r>
    </w:p>
    <w:p w:rsidR="00531711" w:rsidRPr="00700915" w:rsidRDefault="00531711" w:rsidP="00531711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Рекламораспространитель обязан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531711" w:rsidRPr="00700915" w:rsidRDefault="00531711" w:rsidP="00531711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Департаментом факта размещения Рекламораспространителем </w:t>
      </w:r>
      <w:r w:rsidRPr="00700915">
        <w:lastRenderedPageBreak/>
        <w:t xml:space="preserve">материалов социальной рекламы по истечении установленного срока, Департамент составляет Акт фиксации размещения рекламно-информационных материалов и направляет его Рекламораспространителю. Рекламораспространитель в течение 1 (одного) рабочего дня направляет в Департамент подписанный уполномоченным лицом Акт в котором указывает причину ненадлежащего исполнения своих обязательств по Договору.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4.4.  Рекламораспространитель обязан в течение 5 (пяти) рабочих дней с даты начала периода размещения социальной рекламы указанного в заявке, предоставить в Департамент фотоотчет. 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Фотоотчет направляется по электронной почте и должен быть выполнен в следующем порядке: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4.5.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4.6. При наступлении случаев, препятствующих распространению материалов социальной рекламы не по вине Рекламораспространителя, последний обязан незамедлительно (в течение суток) уведомить о данном факте Департамент.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5.1. 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 2 статьи 146 Налогового кодекса Российской Федерации).</w:t>
      </w:r>
    </w:p>
    <w:p w:rsidR="00531711" w:rsidRPr="00700915" w:rsidRDefault="00531711" w:rsidP="00531711">
      <w:pPr>
        <w:spacing w:line="20" w:lineRule="atLeast"/>
        <w:ind w:firstLine="709"/>
        <w:jc w:val="both"/>
      </w:pPr>
      <w:r w:rsidRPr="00700915">
        <w:t>5.2. В случае изменения Рекламораспространителем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 рекламной конструкции</w:t>
      </w:r>
      <w:r w:rsidRPr="00700915"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Об изменении размера платы по Договору Департамент извещает Рекламораспространителя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5.3. Оплата по настоящему Договору производится Рекламораспространителем в следующем порядке: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Рекламораспространителем в качестве задатка для участия в торгах, засчитываются в счет оплаты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Рекламораспространителем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r w:rsidRPr="00700915">
        <w:lastRenderedPageBreak/>
        <w:t>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531711" w:rsidRPr="00531711" w:rsidRDefault="00531711" w:rsidP="00531711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1711">
        <w:rPr>
          <w:rFonts w:ascii="Times New Roman" w:hAnsi="Times New Roman"/>
          <w:sz w:val="24"/>
          <w:szCs w:val="24"/>
        </w:rPr>
        <w:t>Оплата производится по следующим реквизитам: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>Получатель:</w:t>
      </w:r>
      <w:r>
        <w:t xml:space="preserve"> </w:t>
      </w:r>
      <w:r w:rsidRPr="00AD6C57">
        <w:t>УФК по Воронежской области (Департамент имущественных и земельных отношений Воронежской области)</w:t>
      </w:r>
      <w:r w:rsidRPr="00700915">
        <w:t xml:space="preserve">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КБК 835</w:t>
      </w:r>
      <w:r w:rsidRPr="00AD6C57">
        <w:t> </w:t>
      </w:r>
      <w:r w:rsidRPr="00700915">
        <w:t>1 17 05020 02 0000 180</w:t>
      </w:r>
    </w:p>
    <w:p w:rsidR="00531711" w:rsidRPr="00AD6C57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>Банк получателя: ОТДЕЛЕНИЕ ВОРОНЕЖ БАНКА РОССИИ//УФК по Воронежской области г. Воронеж</w:t>
      </w:r>
    </w:p>
    <w:p w:rsidR="00531711" w:rsidRPr="00AD6C57" w:rsidRDefault="00531711" w:rsidP="00531711">
      <w:pPr>
        <w:spacing w:line="276" w:lineRule="auto"/>
        <w:ind w:firstLine="709"/>
        <w:jc w:val="both"/>
        <w:rPr>
          <w:i/>
        </w:rPr>
      </w:pPr>
      <w:r w:rsidRPr="00BF10B0">
        <w:t>Номер счета банка получателя средств (Единый казначейский счёт)</w:t>
      </w:r>
      <w:r w:rsidRPr="00AD6C57">
        <w:t xml:space="preserve">: 40102810945370000023 </w:t>
      </w:r>
      <w:r w:rsidRPr="00AD6C57">
        <w:rPr>
          <w:i/>
        </w:rPr>
        <w:t>(корр. счет)</w:t>
      </w:r>
    </w:p>
    <w:p w:rsidR="00531711" w:rsidRPr="00AD6C57" w:rsidRDefault="00531711" w:rsidP="00531711">
      <w:pPr>
        <w:autoSpaceDE w:val="0"/>
        <w:autoSpaceDN w:val="0"/>
        <w:adjustRightInd w:val="0"/>
        <w:ind w:firstLine="709"/>
        <w:jc w:val="both"/>
      </w:pPr>
      <w:r w:rsidRPr="00BF10B0">
        <w:t>Номер счета получателя (номер казначейского счета):</w:t>
      </w:r>
      <w:r w:rsidRPr="00AD6C57">
        <w:t xml:space="preserve"> 03100643000000013100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>БИК 012007084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ИНН 3666057069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КПП 366601001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ОКТМО 20701000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Назначение платежа: Прочие неналоговые доходы бюджетов субъектов Российской Федерации.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5.4. Фактом оплаты является зачисление суммы платежа на счет Получателя.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5.5. Обязанность оплаты Рекламораспространителя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6.2. В случае просрочки Рекламораспространителем сроков внесения платы, предусмотренных условиями Договора, Рекламораспространитель уплачивает неустойку в виде пени в размере 0,1 % от неуплаченной суммы за каждый день просрочки.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6.3. В случае неисполнения пп. «а» - «г» п. 3</w:t>
      </w:r>
      <w:r>
        <w:t>.3.10</w:t>
      </w:r>
      <w:r w:rsidRPr="00700915">
        <w:t xml:space="preserve"> настоящего Договора, Департамент вправе взыскать с Рекламораспространителя неустойку в размере 30 % от суммы годовой платы.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6.4. В случае неисполнения пп. «г», «д» п. 3.3.</w:t>
      </w:r>
      <w:r>
        <w:t>10</w:t>
      </w:r>
      <w:r w:rsidRPr="00700915">
        <w:t xml:space="preserve"> настоящего Договора, Рекламораспространитель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6.5. В случае нарушения Рекламораспространителем пп. 3.3.4, 3.3.1</w:t>
      </w:r>
      <w:r>
        <w:t>9, 3.3.20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Департамента и иных городских организаций с требованиями приведения конструкции в надлежащее состояние, Рекламораспространитель выплачивает по требованию Департамента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6.6. Рекламораспространитель выплачивает штраф в размере 50000 (пятидесяти тысяч) рублей по предписанию Департамента за каждое выявленное нарушение в следующих случаях: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пп. 4.1 – 4.4 Договора, Рекламораспространитель выплачивает по требованию Департамента штраф в размере 1 (одной) тысячи рублей за каждый случай нарушения обязательств по размещению социальной рекламы.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6.8. Уплата пени, штрафа или неустойки, предусмотренных настоящим разделом Договора, не освобождает Рекламораспространителя от исполнения денежных обязательств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8.2. Департамент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Рекламораспространителем обязанности по внесению платы в размере и сроки, установленные </w:t>
      </w:r>
      <w:r>
        <w:t>разделом 5</w:t>
      </w:r>
      <w:r w:rsidRPr="00700915">
        <w:t xml:space="preserve"> настоящего Договора;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531711" w:rsidRPr="00E926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неоднократного (в течение года) невыполнения (ненадлежащего или несвоевременного) Рекламораспространителем обязательств по размещению социальной рекламы (</w:t>
      </w:r>
      <w:r w:rsidRPr="00803CBE">
        <w:t>п.п. 3.1.3, 3.3.5, 3.3.6, 4.1- 4.4 на</w:t>
      </w:r>
      <w:r w:rsidRPr="00700915">
        <w:t>стоящего Договора);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- неисполнения Рекламораспространителем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</w:t>
      </w:r>
      <w:r>
        <w:t>и</w:t>
      </w:r>
      <w:r w:rsidRPr="001254E6">
        <w:t xml:space="preserve">ся неотъемлемой частью настоящего Договора. 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Департамента, она направляет Рекламораспространителю в срок не менее, чем за 30 </w:t>
      </w:r>
      <w:r w:rsidRPr="001254E6">
        <w:lastRenderedPageBreak/>
        <w:t>календарных дней уведомление о расторжении Договора с указанием даты его прекращения.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8.4. Рекламораспространитель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Департамент не менее чем за 30 дней.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При этом Рекламораспространитель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8.5. Договор может быть расторгнут до истечения срока его действия по соглашению </w:t>
      </w:r>
      <w:r w:rsidRPr="00700915">
        <w:t>сторон.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10" w:history="1"/>
      <w:r w:rsidRPr="001254E6">
        <w:t xml:space="preserve"> – 8.4 в течении первого года действия Договора, Рекламораспространитель не вправе требовать от Департамента возврата денежных средств, внесенных Рекламораспространителем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- технические характеристики рекламной конструкции (при проведении аукциона),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/>
      </w:tblPr>
      <w:tblGrid>
        <w:gridCol w:w="4545"/>
        <w:gridCol w:w="236"/>
        <w:gridCol w:w="4879"/>
      </w:tblGrid>
      <w:tr w:rsidR="00531711" w:rsidRPr="00700915" w:rsidTr="0026484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Департамент имущественных 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и земельных отношений 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Воронежской области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ИНН 3666057069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ОГРН 1023601570904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531711" w:rsidRPr="00700915" w:rsidTr="0026484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М.П.</w:t>
            </w:r>
          </w:p>
        </w:tc>
      </w:tr>
    </w:tbl>
    <w:p w:rsidR="00531711" w:rsidRPr="008529A1" w:rsidRDefault="00531711" w:rsidP="00531711">
      <w:pPr>
        <w:tabs>
          <w:tab w:val="left" w:pos="2116"/>
        </w:tabs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sectPr w:rsidR="00ED13C3" w:rsidRPr="008D4845" w:rsidSect="002463C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0" w:rsidRDefault="00671CE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0A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10" w:rsidRDefault="00671CED">
    <w:pPr>
      <w:pStyle w:val="ab"/>
      <w:jc w:val="right"/>
    </w:pPr>
    <w:fldSimple w:instr=" PAGE   \* MERGEFORMAT ">
      <w:r w:rsidR="00531711">
        <w:rPr>
          <w:noProof/>
        </w:rPr>
        <w:t>47</w:t>
      </w:r>
    </w:fldSimple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6A3A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63C7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47EFA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1711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1CED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8A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10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5EB5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4818</Words>
  <Characters>40673</Characters>
  <Application>Microsoft Office Word</Application>
  <DocSecurity>0</DocSecurity>
  <Lines>338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67</cp:revision>
  <cp:lastPrinted>2021-07-23T09:21:00Z</cp:lastPrinted>
  <dcterms:created xsi:type="dcterms:W3CDTF">2014-03-06T09:18:00Z</dcterms:created>
  <dcterms:modified xsi:type="dcterms:W3CDTF">2021-07-23T09:23:00Z</dcterms:modified>
</cp:coreProperties>
</file>