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0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BB3">
        <w:rPr>
          <w:rFonts w:ascii="Times New Roman" w:hAnsi="Times New Roman" w:cs="Times New Roman"/>
          <w:sz w:val="24"/>
          <w:szCs w:val="24"/>
        </w:rPr>
        <w:t>Информация об ограничениях в использовании земельных участков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912"/>
        <w:gridCol w:w="9"/>
        <w:gridCol w:w="2022"/>
        <w:gridCol w:w="1985"/>
        <w:gridCol w:w="3869"/>
        <w:gridCol w:w="5990"/>
      </w:tblGrid>
      <w:tr w:rsidR="00A5341A" w:rsidRPr="00A5341A" w:rsidTr="008F5ADF">
        <w:tc>
          <w:tcPr>
            <w:tcW w:w="921" w:type="dxa"/>
            <w:gridSpan w:val="2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2022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Кадастровый номер объекта</w:t>
            </w:r>
          </w:p>
        </w:tc>
        <w:tc>
          <w:tcPr>
            <w:tcW w:w="1985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Площадь объекта, м</w:t>
            </w:r>
            <w:proofErr w:type="gramStart"/>
            <w:r w:rsidRPr="00A5341A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3869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Адрес (местонахождение) объекта</w:t>
            </w:r>
          </w:p>
        </w:tc>
        <w:tc>
          <w:tcPr>
            <w:tcW w:w="5990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5341A">
              <w:rPr>
                <w:rFonts w:ascii="Times New Roman" w:hAnsi="Times New Roman" w:cs="Times New Roman"/>
              </w:rPr>
              <w:t>Ограничения в использовании земельного участка</w:t>
            </w:r>
          </w:p>
        </w:tc>
      </w:tr>
      <w:tr w:rsidR="00A5341A" w:rsidRPr="00A5341A" w:rsidTr="008F5ADF">
        <w:tc>
          <w:tcPr>
            <w:tcW w:w="921" w:type="dxa"/>
            <w:gridSpan w:val="2"/>
          </w:tcPr>
          <w:p w:rsidR="00323BB3" w:rsidRPr="00A5341A" w:rsidRDefault="007761B2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</w:tcPr>
          <w:p w:rsidR="00323BB3" w:rsidRPr="00A5341A" w:rsidRDefault="007761B2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36:10:5400005:369</w:t>
            </w:r>
          </w:p>
        </w:tc>
        <w:tc>
          <w:tcPr>
            <w:tcW w:w="1985" w:type="dxa"/>
          </w:tcPr>
          <w:p w:rsidR="00323BB3" w:rsidRPr="00A5341A" w:rsidRDefault="007761B2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18 163 (в том </w:t>
            </w:r>
            <w:proofErr w:type="gram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числе</w:t>
            </w:r>
            <w:proofErr w:type="gram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 5 021 ограничен в использовании*)</w:t>
            </w:r>
          </w:p>
        </w:tc>
        <w:tc>
          <w:tcPr>
            <w:tcW w:w="3869" w:type="dxa"/>
          </w:tcPr>
          <w:p w:rsidR="00323BB3" w:rsidRPr="00A5341A" w:rsidRDefault="00ED0DA6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Российская Федерация, обл. Воронежская, р-н </w:t>
            </w:r>
            <w:proofErr w:type="spell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Калачеевский</w:t>
            </w:r>
            <w:proofErr w:type="spell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, южная часть кадастрового квартала 36:10:5400005</w:t>
            </w:r>
          </w:p>
        </w:tc>
        <w:tc>
          <w:tcPr>
            <w:tcW w:w="5990" w:type="dxa"/>
          </w:tcPr>
          <w:p w:rsidR="00ED0DA6" w:rsidRDefault="00700038" w:rsidP="00AC7CE1">
            <w:pPr>
              <w:jc w:val="both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Ограничения прав на земельный участок, предусмотренные статьями 56, 56.1 Земельног</w:t>
            </w:r>
            <w:r w:rsidR="00ED0DA6">
              <w:rPr>
                <w:rFonts w:ascii="Times New Roman" w:hAnsi="Times New Roman" w:cs="Times New Roman"/>
              </w:rPr>
              <w:t>о кодекса российской Федерации, перечень ограничений прав и особые условия использования территории внутри охранной зоны установлены согласно Постановления Правительства РФ от 24.02.2009 №160 «О порядке установления охранных зон объектов</w:t>
            </w:r>
            <w:r w:rsidR="004A4090">
              <w:rPr>
                <w:rFonts w:ascii="Times New Roman" w:hAnsi="Times New Roman" w:cs="Times New Roman"/>
              </w:rPr>
              <w:t xml:space="preserve"> электросетевого  хозяйства и особых условий использования земельных участков, расположенных в границах таких зон"</w:t>
            </w:r>
            <w:r w:rsidR="00192B5E">
              <w:rPr>
                <w:rFonts w:ascii="Times New Roman" w:hAnsi="Times New Roman" w:cs="Times New Roman"/>
              </w:rPr>
              <w:t xml:space="preserve">, охранная зона электропередачи </w:t>
            </w:r>
            <w:proofErr w:type="gramStart"/>
            <w:r w:rsidR="00192B5E">
              <w:rPr>
                <w:rFonts w:ascii="Times New Roman" w:hAnsi="Times New Roman" w:cs="Times New Roman"/>
              </w:rPr>
              <w:t>ВЛ</w:t>
            </w:r>
            <w:proofErr w:type="gramEnd"/>
          </w:p>
          <w:p w:rsidR="00192B5E" w:rsidRPr="00A5341A" w:rsidRDefault="00192B5E" w:rsidP="00AC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кВ Калач-1 – Семеновка, зона с особыми условиями использования территорий, 36.10.2.1, Заявление МРСК ЦЕНТРА филиал «Воронежэнерго» № ВР/28/1915 от 14.03.2012.</w:t>
            </w:r>
          </w:p>
          <w:p w:rsidR="001A1CB4" w:rsidRPr="00A5341A" w:rsidRDefault="001A1CB4" w:rsidP="00AC7C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41A" w:rsidRPr="00A5341A" w:rsidTr="008F5ADF">
        <w:tc>
          <w:tcPr>
            <w:tcW w:w="921" w:type="dxa"/>
            <w:gridSpan w:val="2"/>
          </w:tcPr>
          <w:p w:rsidR="0086020A" w:rsidRPr="00A5341A" w:rsidRDefault="00262174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:rsidR="0086020A" w:rsidRPr="00A5341A" w:rsidRDefault="00C57FA3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36:10:5400005:371</w:t>
            </w:r>
          </w:p>
        </w:tc>
        <w:tc>
          <w:tcPr>
            <w:tcW w:w="1985" w:type="dxa"/>
          </w:tcPr>
          <w:p w:rsidR="0086020A" w:rsidRPr="00A5341A" w:rsidRDefault="00C57FA3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24 021 (в том </w:t>
            </w:r>
            <w:proofErr w:type="gram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числе</w:t>
            </w:r>
            <w:proofErr w:type="gram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 91 ограничен в использовании*)</w:t>
            </w:r>
          </w:p>
        </w:tc>
        <w:tc>
          <w:tcPr>
            <w:tcW w:w="3869" w:type="dxa"/>
          </w:tcPr>
          <w:p w:rsidR="0086020A" w:rsidRPr="00A5341A" w:rsidRDefault="00C57FA3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Российская Федерация, обл. Воронежская, р-н </w:t>
            </w:r>
            <w:proofErr w:type="spell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Калачеевский</w:t>
            </w:r>
            <w:proofErr w:type="spell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, северная часть кадастрового квартала 36:10:5400005</w:t>
            </w:r>
          </w:p>
        </w:tc>
        <w:tc>
          <w:tcPr>
            <w:tcW w:w="5990" w:type="dxa"/>
          </w:tcPr>
          <w:p w:rsidR="0086020A" w:rsidRPr="00A5341A" w:rsidRDefault="0086020A" w:rsidP="003F2DD5">
            <w:pPr>
              <w:jc w:val="both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 xml:space="preserve">Ограничения прав на земельный участок, предусмотренные статьями 56, 56.1 Земельного кодекса российской Федерации. </w:t>
            </w:r>
            <w:proofErr w:type="gramStart"/>
            <w:r w:rsidRPr="00A5341A">
              <w:rPr>
                <w:rFonts w:ascii="Times New Roman" w:hAnsi="Times New Roman" w:cs="Times New Roman"/>
              </w:rPr>
              <w:t>Ограничения</w:t>
            </w:r>
            <w:r w:rsidR="00C57FA3">
              <w:rPr>
                <w:rFonts w:ascii="Times New Roman" w:hAnsi="Times New Roman" w:cs="Times New Roman"/>
              </w:rPr>
              <w:t xml:space="preserve"> использования объектов</w:t>
            </w:r>
            <w:r w:rsidR="00C5413A">
              <w:rPr>
                <w:rFonts w:ascii="Times New Roman" w:hAnsi="Times New Roman" w:cs="Times New Roman"/>
              </w:rPr>
              <w:t xml:space="preserve">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 11, 13, зона с особыми условиями использования территорий (охранная зона) ВЛ-10-3 ПС Н. </w:t>
            </w:r>
            <w:proofErr w:type="spellStart"/>
            <w:r w:rsidR="00C5413A">
              <w:rPr>
                <w:rFonts w:ascii="Times New Roman" w:hAnsi="Times New Roman" w:cs="Times New Roman"/>
              </w:rPr>
              <w:t>Меловатка</w:t>
            </w:r>
            <w:proofErr w:type="spellEnd"/>
            <w:r w:rsidR="00C5413A">
              <w:rPr>
                <w:rFonts w:ascii="Times New Roman" w:hAnsi="Times New Roman" w:cs="Times New Roman"/>
              </w:rPr>
              <w:t xml:space="preserve">, зона с особыми условиями использования территорий, № 1,36.10.2.19, Справка о балансовой </w:t>
            </w:r>
            <w:r w:rsidR="00B15707">
              <w:rPr>
                <w:rFonts w:ascii="Times New Roman" w:hAnsi="Times New Roman" w:cs="Times New Roman"/>
              </w:rPr>
              <w:t>принадлежности филиала ОАО «МРСК Центра» - «Воронежэнерго»№ ВР/28/3439</w:t>
            </w:r>
            <w:proofErr w:type="gramEnd"/>
            <w:r w:rsidR="00B15707">
              <w:rPr>
                <w:rFonts w:ascii="Times New Roman" w:hAnsi="Times New Roman" w:cs="Times New Roman"/>
              </w:rPr>
              <w:t xml:space="preserve"> от 16.04.2014</w:t>
            </w:r>
            <w:r w:rsidR="003555C4">
              <w:rPr>
                <w:rFonts w:ascii="Times New Roman" w:hAnsi="Times New Roman" w:cs="Times New Roman"/>
              </w:rPr>
              <w:t>.</w:t>
            </w:r>
          </w:p>
        </w:tc>
      </w:tr>
      <w:tr w:rsidR="00A5341A" w:rsidRPr="00A5341A" w:rsidTr="008F5ADF">
        <w:tc>
          <w:tcPr>
            <w:tcW w:w="921" w:type="dxa"/>
            <w:gridSpan w:val="2"/>
          </w:tcPr>
          <w:p w:rsidR="001A1CB4" w:rsidRPr="00A5341A" w:rsidRDefault="00262174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</w:tcPr>
          <w:p w:rsidR="001A1CB4" w:rsidRPr="00A5341A" w:rsidRDefault="001269A0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36:10:5400006:401</w:t>
            </w:r>
          </w:p>
        </w:tc>
        <w:tc>
          <w:tcPr>
            <w:tcW w:w="1985" w:type="dxa"/>
          </w:tcPr>
          <w:p w:rsidR="001A1CB4" w:rsidRPr="00A5341A" w:rsidRDefault="001269A0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22 508 (в том </w:t>
            </w:r>
            <w:proofErr w:type="gram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числе</w:t>
            </w:r>
            <w:proofErr w:type="gram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 13 ограничен в использовании*)</w:t>
            </w:r>
          </w:p>
        </w:tc>
        <w:tc>
          <w:tcPr>
            <w:tcW w:w="3869" w:type="dxa"/>
          </w:tcPr>
          <w:p w:rsidR="001A1CB4" w:rsidRPr="00A5341A" w:rsidRDefault="001269A0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Российская Федерация, обл. Воронежская, р-н </w:t>
            </w:r>
            <w:proofErr w:type="spell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Калачеевский</w:t>
            </w:r>
            <w:proofErr w:type="spell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, центральная часть кадастрового квартала 36:10:5400006</w:t>
            </w:r>
          </w:p>
        </w:tc>
        <w:tc>
          <w:tcPr>
            <w:tcW w:w="5990" w:type="dxa"/>
          </w:tcPr>
          <w:p w:rsidR="007D178A" w:rsidRDefault="001A1CB4" w:rsidP="007D178A">
            <w:pPr>
              <w:jc w:val="both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Ограничения прав на земельный участок, предусмотренные статьями 56, 56.1 Земельного кодекса российской Федерации. Ограничения, установленные согласно Привалам охраны электрических сетей напряжением свыше 1000 Вольт</w:t>
            </w:r>
            <w:r w:rsidR="007D178A">
              <w:rPr>
                <w:rFonts w:ascii="Times New Roman" w:hAnsi="Times New Roman" w:cs="Times New Roman"/>
              </w:rPr>
              <w:t xml:space="preserve"> (п. 11)</w:t>
            </w:r>
            <w:r w:rsidRPr="00A5341A">
              <w:rPr>
                <w:rFonts w:ascii="Times New Roman" w:hAnsi="Times New Roman" w:cs="Times New Roman"/>
              </w:rPr>
              <w:t>, утвержденных Постановлением Совета Министров СССР № 255 от 26 марта 1984 г.</w:t>
            </w:r>
            <w:r w:rsidR="001269A0">
              <w:rPr>
                <w:rFonts w:ascii="Times New Roman" w:hAnsi="Times New Roman" w:cs="Times New Roman"/>
              </w:rPr>
              <w:t xml:space="preserve"> </w:t>
            </w:r>
          </w:p>
          <w:p w:rsidR="001A1CB4" w:rsidRPr="00A5341A" w:rsidRDefault="00514038" w:rsidP="007D17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Охранная зона объекта линии электропередач ВЛ-10-5 </w:t>
            </w:r>
            <w:proofErr w:type="spellStart"/>
            <w:r>
              <w:rPr>
                <w:rFonts w:ascii="Times New Roman" w:hAnsi="Times New Roman" w:cs="Times New Roman"/>
              </w:rPr>
              <w:t>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</w:rPr>
              <w:t>Меловатка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области, зона с особыми условиями использования территорий, № 0, 36.10.2.63,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      </w:r>
            <w:r w:rsidR="007D178A">
              <w:rPr>
                <w:rFonts w:ascii="Times New Roman" w:hAnsi="Times New Roman" w:cs="Times New Roman"/>
              </w:rPr>
              <w:t>.</w:t>
            </w:r>
          </w:p>
        </w:tc>
      </w:tr>
      <w:tr w:rsidR="00262174" w:rsidTr="008F5ADF">
        <w:tblPrEx>
          <w:tblLook w:val="0000" w:firstRow="0" w:lastRow="0" w:firstColumn="0" w:lastColumn="0" w:noHBand="0" w:noVBand="0"/>
        </w:tblPrEx>
        <w:trPr>
          <w:trHeight w:val="2576"/>
        </w:trPr>
        <w:tc>
          <w:tcPr>
            <w:tcW w:w="912" w:type="dxa"/>
          </w:tcPr>
          <w:p w:rsidR="00262174" w:rsidRDefault="00262174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  <w:gridSpan w:val="2"/>
          </w:tcPr>
          <w:p w:rsidR="00262174" w:rsidRDefault="0004388B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36:10:5400006:408</w:t>
            </w:r>
          </w:p>
        </w:tc>
        <w:tc>
          <w:tcPr>
            <w:tcW w:w="1985" w:type="dxa"/>
          </w:tcPr>
          <w:p w:rsidR="00262174" w:rsidRDefault="006107BD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6 408 (в том </w:t>
            </w:r>
            <w:proofErr w:type="gram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числе</w:t>
            </w:r>
            <w:proofErr w:type="gram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 160 ограничен в использовании*)</w:t>
            </w:r>
          </w:p>
        </w:tc>
        <w:tc>
          <w:tcPr>
            <w:tcW w:w="3869" w:type="dxa"/>
          </w:tcPr>
          <w:p w:rsidR="00262174" w:rsidRDefault="006107BD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Российская Федерация, обл. Воронежская, р-н </w:t>
            </w:r>
            <w:proofErr w:type="spell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Калачеевский</w:t>
            </w:r>
            <w:proofErr w:type="spell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, центральная часть кадастрового квартала 36:10:5400006</w:t>
            </w:r>
          </w:p>
        </w:tc>
        <w:tc>
          <w:tcPr>
            <w:tcW w:w="5990" w:type="dxa"/>
          </w:tcPr>
          <w:p w:rsidR="00262174" w:rsidRDefault="006107BD" w:rsidP="0012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1A">
              <w:rPr>
                <w:rFonts w:ascii="Times New Roman" w:hAnsi="Times New Roman" w:cs="Times New Roman"/>
              </w:rPr>
              <w:t xml:space="preserve">Ограничения прав на земельный участок, предусмотренные статьями 56, 56.1 Земельного кодекса российской Федерации. </w:t>
            </w:r>
            <w:proofErr w:type="gramStart"/>
            <w:r w:rsidRPr="00A5341A">
              <w:rPr>
                <w:rFonts w:ascii="Times New Roman" w:hAnsi="Times New Roman" w:cs="Times New Roman"/>
              </w:rPr>
              <w:t>Ограничения, установленные согласно Привалам охраны электрических сетей напряжением свыше 1000 Вольт</w:t>
            </w:r>
            <w:r w:rsidR="00534C83">
              <w:rPr>
                <w:rFonts w:ascii="Times New Roman" w:hAnsi="Times New Roman" w:cs="Times New Roman"/>
              </w:rPr>
              <w:t xml:space="preserve"> (п. 11)</w:t>
            </w:r>
            <w:r w:rsidRPr="00A5341A">
              <w:rPr>
                <w:rFonts w:ascii="Times New Roman" w:hAnsi="Times New Roman" w:cs="Times New Roman"/>
              </w:rPr>
              <w:t>, утвержденных Постановлением Совета Министров СССР № 255 от 26 марта 1984 г.</w:t>
            </w:r>
            <w:r>
              <w:rPr>
                <w:rFonts w:ascii="Times New Roman" w:hAnsi="Times New Roman" w:cs="Times New Roman"/>
              </w:rPr>
              <w:t xml:space="preserve"> Охранная зона объекта линии электропередач ВЛ-10-5, </w:t>
            </w:r>
            <w:proofErr w:type="spellStart"/>
            <w:r>
              <w:rPr>
                <w:rFonts w:ascii="Times New Roman" w:hAnsi="Times New Roman" w:cs="Times New Roman"/>
              </w:rPr>
              <w:t>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</w:rPr>
              <w:t>Меловатка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области, зона с особыми условиями использования территорий, № 0, 36.10.2.63, Постановление Правительства Российской Федерации «О порядке установления охранных зон объектов электросетевого хозяйства и особых условий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использования земельных участков, расположенных в границах таких зон» № 160 от 24.02.2009</w:t>
            </w:r>
            <w:r w:rsidR="00120678">
              <w:rPr>
                <w:rFonts w:ascii="Times New Roman" w:hAnsi="Times New Roman" w:cs="Times New Roman"/>
              </w:rPr>
              <w:t>.</w:t>
            </w:r>
          </w:p>
        </w:tc>
      </w:tr>
      <w:tr w:rsidR="00262174" w:rsidTr="008F5ADF">
        <w:tblPrEx>
          <w:tblLook w:val="0000" w:firstRow="0" w:lastRow="0" w:firstColumn="0" w:lastColumn="0" w:noHBand="0" w:noVBand="0"/>
        </w:tblPrEx>
        <w:trPr>
          <w:trHeight w:val="2576"/>
        </w:trPr>
        <w:tc>
          <w:tcPr>
            <w:tcW w:w="912" w:type="dxa"/>
          </w:tcPr>
          <w:p w:rsidR="00262174" w:rsidRDefault="00262174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gridSpan w:val="2"/>
          </w:tcPr>
          <w:p w:rsidR="00262174" w:rsidRDefault="00590FCE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36:10:5400006:405</w:t>
            </w:r>
          </w:p>
        </w:tc>
        <w:tc>
          <w:tcPr>
            <w:tcW w:w="1985" w:type="dxa"/>
          </w:tcPr>
          <w:p w:rsidR="00262174" w:rsidRDefault="00590FCE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17 029 (в том </w:t>
            </w:r>
            <w:proofErr w:type="gram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числе</w:t>
            </w:r>
            <w:proofErr w:type="gram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 1 046 ограничен в использовании*)</w:t>
            </w:r>
          </w:p>
        </w:tc>
        <w:tc>
          <w:tcPr>
            <w:tcW w:w="3869" w:type="dxa"/>
          </w:tcPr>
          <w:p w:rsidR="00262174" w:rsidRDefault="00590FCE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 xml:space="preserve">Российская Федерация, обл. Воронежская, р-н </w:t>
            </w:r>
            <w:proofErr w:type="spellStart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Калачеевский</w:t>
            </w:r>
            <w:proofErr w:type="spellEnd"/>
            <w:r>
              <w:rPr>
                <w:rFonts w:ascii="opensans-regular" w:hAnsi="opensans-regular"/>
                <w:color w:val="333333"/>
                <w:shd w:val="clear" w:color="auto" w:fill="FFFFFF"/>
              </w:rPr>
              <w:t>, центральная часть кадастрового квартала 36:10:5400006</w:t>
            </w:r>
          </w:p>
        </w:tc>
        <w:tc>
          <w:tcPr>
            <w:tcW w:w="5990" w:type="dxa"/>
          </w:tcPr>
          <w:p w:rsidR="00262174" w:rsidRDefault="00EE293B" w:rsidP="001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0FA3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1C5F4D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="00CE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DD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CE0FA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486 кв. м. предусмотрены ограничения прав на земельный участок в соответствии со </w:t>
            </w:r>
            <w:r w:rsidR="00CE0FA3" w:rsidRPr="00A5341A">
              <w:rPr>
                <w:rFonts w:ascii="Times New Roman" w:hAnsi="Times New Roman" w:cs="Times New Roman"/>
              </w:rPr>
              <w:t xml:space="preserve">статьями 56, 56.1 Земельного кодекса российской Федерации. </w:t>
            </w:r>
            <w:proofErr w:type="gramStart"/>
            <w:r w:rsidR="00CE0FA3" w:rsidRPr="00A5341A">
              <w:rPr>
                <w:rFonts w:ascii="Times New Roman" w:hAnsi="Times New Roman" w:cs="Times New Roman"/>
              </w:rPr>
              <w:t>Ограничения, установленные согласно Привалам охраны электрических сетей напряжением свыше 1000 Вольт</w:t>
            </w:r>
            <w:r w:rsidR="001645B8">
              <w:rPr>
                <w:rFonts w:ascii="Times New Roman" w:hAnsi="Times New Roman" w:cs="Times New Roman"/>
              </w:rPr>
              <w:t xml:space="preserve"> (п. 11)</w:t>
            </w:r>
            <w:r w:rsidR="00CE0FA3" w:rsidRPr="00A5341A">
              <w:rPr>
                <w:rFonts w:ascii="Times New Roman" w:hAnsi="Times New Roman" w:cs="Times New Roman"/>
              </w:rPr>
              <w:t>, утвержденных Постановлением Совета Министров СССР № 255 от 26 марта 1984 г.</w:t>
            </w:r>
            <w:r w:rsidR="00CE0FA3">
              <w:rPr>
                <w:rFonts w:ascii="Times New Roman" w:hAnsi="Times New Roman" w:cs="Times New Roman"/>
              </w:rPr>
              <w:t xml:space="preserve"> Охранная зона объекта линии электропередач ВЛ-10-5, </w:t>
            </w:r>
            <w:proofErr w:type="spellStart"/>
            <w:r w:rsidR="00CE0FA3">
              <w:rPr>
                <w:rFonts w:ascii="Times New Roman" w:hAnsi="Times New Roman" w:cs="Times New Roman"/>
              </w:rPr>
              <w:t>пс</w:t>
            </w:r>
            <w:proofErr w:type="spellEnd"/>
            <w:r w:rsidR="00CE0FA3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="00CE0FA3">
              <w:rPr>
                <w:rFonts w:ascii="Times New Roman" w:hAnsi="Times New Roman" w:cs="Times New Roman"/>
              </w:rPr>
              <w:t>Меловатка</w:t>
            </w:r>
            <w:proofErr w:type="spellEnd"/>
            <w:r w:rsidR="00CE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FA3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="00CE0FA3">
              <w:rPr>
                <w:rFonts w:ascii="Times New Roman" w:hAnsi="Times New Roman" w:cs="Times New Roman"/>
              </w:rPr>
              <w:t xml:space="preserve"> района Воронежской области, зона с особыми условиями использования территорий, № 0, 36.10.2.63, Постановление Правительства Российской Федерации «О порядке установления охранных зон объектов электросетевого хозяйства и особых условий</w:t>
            </w:r>
            <w:proofErr w:type="gramEnd"/>
            <w:r w:rsidR="00CE0FA3">
              <w:rPr>
                <w:rFonts w:ascii="Times New Roman" w:hAnsi="Times New Roman" w:cs="Times New Roman"/>
              </w:rPr>
              <w:t xml:space="preserve"> использования земельных участков, расположенных в границах таких зон» № 160 от 24.02.2009</w:t>
            </w:r>
            <w:r w:rsidR="002F7869">
              <w:rPr>
                <w:rFonts w:ascii="Times New Roman" w:hAnsi="Times New Roman" w:cs="Times New Roman"/>
              </w:rPr>
              <w:t>.</w:t>
            </w:r>
          </w:p>
          <w:p w:rsidR="003F2DD5" w:rsidRDefault="003F2DD5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D5" w:rsidRDefault="003F2DD5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1C5F4D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площадью 560 кв. м.</w:t>
            </w:r>
            <w:r w:rsidR="00AB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ограничения прав на земельный участок в соответствии со статьей 56 Земельного кодекса Российской Федерации, Содержание ограничений режима использования объектов недвижимости в границах охранной зоны установлено пунктами 8,9,10,11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</w:t>
            </w:r>
            <w:r w:rsidR="0010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0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C11">
              <w:rPr>
                <w:rFonts w:ascii="Times New Roman" w:hAnsi="Times New Roman" w:cs="Times New Roman"/>
              </w:rPr>
              <w:t>«О порядке установления охранных зон объектов электросетевого  хозяйства и особых условий использования земельных участков, расположенных в границах таких зон», Охранная зона объекта: «Внеплощадочные сети электроснабжения Свиноводческого комплекса «</w:t>
            </w:r>
            <w:proofErr w:type="spellStart"/>
            <w:r w:rsidR="005D1C11">
              <w:rPr>
                <w:rFonts w:ascii="Times New Roman" w:hAnsi="Times New Roman" w:cs="Times New Roman"/>
              </w:rPr>
              <w:t>Меловатский</w:t>
            </w:r>
            <w:proofErr w:type="spellEnd"/>
            <w:r w:rsidR="005D1C11">
              <w:rPr>
                <w:rFonts w:ascii="Times New Roman" w:hAnsi="Times New Roman" w:cs="Times New Roman"/>
              </w:rPr>
              <w:t xml:space="preserve">», расположенного по адресу: Воронежская область, </w:t>
            </w:r>
            <w:proofErr w:type="spellStart"/>
            <w:r w:rsidR="005D1C11">
              <w:rPr>
                <w:rFonts w:ascii="Times New Roman" w:hAnsi="Times New Roman" w:cs="Times New Roman"/>
              </w:rPr>
              <w:t>Калачеевский</w:t>
            </w:r>
            <w:proofErr w:type="spellEnd"/>
            <w:r w:rsidR="005D1C11">
              <w:rPr>
                <w:rFonts w:ascii="Times New Roman" w:hAnsi="Times New Roman" w:cs="Times New Roman"/>
              </w:rPr>
              <w:t xml:space="preserve"> район, юго-восточная часть кадастрового квартала</w:t>
            </w:r>
            <w:r w:rsidR="002416E4">
              <w:rPr>
                <w:rFonts w:ascii="Times New Roman" w:hAnsi="Times New Roman" w:cs="Times New Roman"/>
              </w:rPr>
              <w:t xml:space="preserve"> </w:t>
            </w:r>
            <w:r w:rsidR="005D1C11">
              <w:rPr>
                <w:rFonts w:ascii="Times New Roman" w:hAnsi="Times New Roman" w:cs="Times New Roman"/>
              </w:rPr>
              <w:t>36:10:5100011», зона с особыми условиями использования территорий, № 0, 36.10.2.111, Постановление Правительства Российской Федерации «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      </w:r>
            <w:r w:rsidR="0010733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323BB3" w:rsidRPr="00323BB3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BB3" w:rsidRPr="00323BB3" w:rsidSect="00CE0F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705"/>
    <w:rsid w:val="0004388B"/>
    <w:rsid w:val="00091B08"/>
    <w:rsid w:val="0010733C"/>
    <w:rsid w:val="00120678"/>
    <w:rsid w:val="001269A0"/>
    <w:rsid w:val="001645B8"/>
    <w:rsid w:val="0019078F"/>
    <w:rsid w:val="00192B5E"/>
    <w:rsid w:val="001A1CB4"/>
    <w:rsid w:val="001C5F4D"/>
    <w:rsid w:val="00236DDF"/>
    <w:rsid w:val="002416E4"/>
    <w:rsid w:val="00262174"/>
    <w:rsid w:val="002F7869"/>
    <w:rsid w:val="00323BB3"/>
    <w:rsid w:val="00326BBB"/>
    <w:rsid w:val="003555C4"/>
    <w:rsid w:val="003F2DD5"/>
    <w:rsid w:val="004A4090"/>
    <w:rsid w:val="004F37DE"/>
    <w:rsid w:val="00514038"/>
    <w:rsid w:val="00534C83"/>
    <w:rsid w:val="005743D5"/>
    <w:rsid w:val="00590FCE"/>
    <w:rsid w:val="005A57E3"/>
    <w:rsid w:val="005D1C11"/>
    <w:rsid w:val="006107BD"/>
    <w:rsid w:val="00682D6C"/>
    <w:rsid w:val="00700038"/>
    <w:rsid w:val="007761B2"/>
    <w:rsid w:val="007D178A"/>
    <w:rsid w:val="0086020A"/>
    <w:rsid w:val="008E1CD8"/>
    <w:rsid w:val="008F03C0"/>
    <w:rsid w:val="008F5ADF"/>
    <w:rsid w:val="00A5341A"/>
    <w:rsid w:val="00AB3FFB"/>
    <w:rsid w:val="00AC7CE1"/>
    <w:rsid w:val="00B15707"/>
    <w:rsid w:val="00B51F43"/>
    <w:rsid w:val="00C5413A"/>
    <w:rsid w:val="00C57FA3"/>
    <w:rsid w:val="00CE0FA3"/>
    <w:rsid w:val="00DA2A88"/>
    <w:rsid w:val="00E331E0"/>
    <w:rsid w:val="00EA1705"/>
    <w:rsid w:val="00ED0DA6"/>
    <w:rsid w:val="00E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FD2DF3-D8FA-4AD7-AAF4-46465444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</dc:creator>
  <cp:lastModifiedBy>Зам</cp:lastModifiedBy>
  <cp:revision>23</cp:revision>
  <cp:lastPrinted>2019-04-03T06:21:00Z</cp:lastPrinted>
  <dcterms:created xsi:type="dcterms:W3CDTF">2019-04-02T11:40:00Z</dcterms:created>
  <dcterms:modified xsi:type="dcterms:W3CDTF">2019-04-03T07:05:00Z</dcterms:modified>
</cp:coreProperties>
</file>